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7"/>
        <w:gridCol w:w="426"/>
        <w:gridCol w:w="289"/>
        <w:gridCol w:w="427"/>
        <w:gridCol w:w="282"/>
        <w:gridCol w:w="2120"/>
        <w:gridCol w:w="1418"/>
      </w:tblGrid>
      <w:tr w:rsidR="00793BB4" w:rsidRPr="00793BB4"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Pr="00793BB4" w:rsidRDefault="00BD2D7F" w:rsidP="00072745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4E921BF" wp14:editId="4EC04DD7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Pr="00793BB4" w:rsidRDefault="0034024C" w:rsidP="00072745">
            <w:pPr>
              <w:pStyle w:val="a8"/>
            </w:pPr>
          </w:p>
        </w:tc>
      </w:tr>
      <w:tr w:rsidR="00793BB4" w:rsidRPr="00793BB4"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793BB4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93BB4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793BB4" w:rsidRDefault="0034024C" w:rsidP="0034024C">
            <w:pPr>
              <w:pStyle w:val="a6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793BB4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 w:rsidRPr="00793BB4">
              <w:rPr>
                <w:rFonts w:ascii="Times New Roman" w:hAnsi="Times New Roman"/>
                <w:b/>
                <w:szCs w:val="28"/>
              </w:rPr>
              <w:t>Ш</w:t>
            </w:r>
            <w:r w:rsidRPr="00793BB4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793BB4" w:rsidRDefault="0034024C" w:rsidP="0034024C">
            <w:pPr>
              <w:pStyle w:val="a6"/>
              <w:spacing w:before="120" w:after="0"/>
              <w:jc w:val="center"/>
              <w:rPr>
                <w:b/>
                <w:szCs w:val="28"/>
              </w:rPr>
            </w:pPr>
            <w:r w:rsidRPr="00793BB4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Pr="00A911A9" w:rsidRDefault="00A911A9" w:rsidP="00A911A9">
            <w:pPr>
              <w:pStyle w:val="a7"/>
              <w:ind w:left="0" w:right="0"/>
              <w:rPr>
                <w:b/>
                <w:sz w:val="20"/>
              </w:rPr>
            </w:pPr>
            <w:r w:rsidRPr="00A911A9">
              <w:rPr>
                <w:sz w:val="20"/>
              </w:rPr>
              <w:t xml:space="preserve">                                  </w:t>
            </w:r>
            <w:r w:rsidRPr="00A911A9">
              <w:rPr>
                <w:b/>
                <w:sz w:val="20"/>
              </w:rPr>
              <w:t>. .</w:t>
            </w:r>
          </w:p>
          <w:p w:rsidR="00254374" w:rsidRPr="00793BB4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r w:rsidRPr="00793BB4">
              <w:rPr>
                <w:b/>
                <w:sz w:val="32"/>
                <w:szCs w:val="32"/>
              </w:rPr>
              <w:t xml:space="preserve">Ш </w:t>
            </w:r>
            <w:r w:rsidR="003159BF" w:rsidRPr="00793BB4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793BB4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793BB4">
              <w:rPr>
                <w:b/>
                <w:sz w:val="32"/>
                <w:szCs w:val="32"/>
              </w:rPr>
              <w:t>Д Ы К</w:t>
            </w:r>
          </w:p>
          <w:p w:rsidR="0034024C" w:rsidRPr="00793BB4" w:rsidRDefault="0034024C" w:rsidP="0034024C">
            <w:pPr>
              <w:pStyle w:val="a7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Pr="00793BB4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793BB4" w:rsidRDefault="0034024C" w:rsidP="0034024C">
            <w:pPr>
              <w:pStyle w:val="a8"/>
              <w:ind w:left="0" w:right="0"/>
              <w:rPr>
                <w:sz w:val="28"/>
                <w:szCs w:val="28"/>
              </w:rPr>
            </w:pPr>
            <w:r w:rsidRPr="00793BB4">
              <w:rPr>
                <w:sz w:val="28"/>
                <w:szCs w:val="28"/>
              </w:rPr>
              <w:t xml:space="preserve">МИНИСТЕРСТВО </w:t>
            </w:r>
            <w:r w:rsidRPr="00793BB4">
              <w:rPr>
                <w:sz w:val="28"/>
                <w:szCs w:val="28"/>
              </w:rPr>
              <w:br/>
              <w:t>ГОСУДАРСТВЕННОГО ИМУЩЕСТВА</w:t>
            </w:r>
            <w:r w:rsidRPr="00793BB4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793BB4" w:rsidRDefault="0034024C" w:rsidP="0034024C">
            <w:pPr>
              <w:pStyle w:val="a7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793BB4" w:rsidRDefault="00254374" w:rsidP="0034024C">
            <w:pPr>
              <w:pStyle w:val="a7"/>
              <w:ind w:left="0" w:right="0"/>
              <w:jc w:val="center"/>
              <w:rPr>
                <w:b/>
                <w:sz w:val="32"/>
                <w:szCs w:val="32"/>
              </w:rPr>
            </w:pPr>
            <w:r w:rsidRPr="00793BB4">
              <w:rPr>
                <w:b/>
                <w:sz w:val="32"/>
                <w:szCs w:val="32"/>
              </w:rPr>
              <w:t>П Р И К А З</w:t>
            </w:r>
          </w:p>
        </w:tc>
      </w:tr>
      <w:tr w:rsidR="00793BB4" w:rsidRPr="00793BB4" w:rsidTr="00382BE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2836" w:type="dxa"/>
          </w:tcPr>
          <w:p w:rsidR="0099257A" w:rsidRPr="00793BB4" w:rsidRDefault="00DC65F6" w:rsidP="004804AB">
            <w:pPr>
              <w:spacing w:before="240"/>
              <w:ind w:left="-108" w:right="-55"/>
              <w:jc w:val="right"/>
            </w:pPr>
            <w:r w:rsidRPr="00793BB4">
              <w:t>от</w:t>
            </w:r>
          </w:p>
        </w:tc>
        <w:tc>
          <w:tcPr>
            <w:tcW w:w="1417" w:type="dxa"/>
          </w:tcPr>
          <w:p w:rsidR="0099257A" w:rsidRPr="00793BB4" w:rsidRDefault="00BD2D7F" w:rsidP="00A33A02">
            <w:pPr>
              <w:spacing w:before="240"/>
              <w:ind w:left="-57" w:right="-114"/>
              <w:jc w:val="right"/>
            </w:pPr>
            <w:r>
              <w:t xml:space="preserve"> </w:t>
            </w:r>
          </w:p>
        </w:tc>
        <w:tc>
          <w:tcPr>
            <w:tcW w:w="715" w:type="dxa"/>
            <w:gridSpan w:val="2"/>
          </w:tcPr>
          <w:p w:rsidR="0099257A" w:rsidRPr="00793BB4" w:rsidRDefault="00BD2D7F" w:rsidP="00BD6DAB">
            <w:pPr>
              <w:spacing w:before="240"/>
              <w:ind w:left="-101" w:right="-57"/>
              <w:jc w:val="right"/>
            </w:pPr>
            <w:r>
              <w:t xml:space="preserve"> </w:t>
            </w:r>
            <w:r w:rsidR="0099257A" w:rsidRPr="00793BB4">
              <w:t>20</w:t>
            </w:r>
            <w:r w:rsidR="00A16482" w:rsidRPr="00793BB4">
              <w:t>1</w:t>
            </w:r>
            <w:r w:rsidR="007F6C94">
              <w:t>9</w:t>
            </w:r>
          </w:p>
        </w:tc>
        <w:tc>
          <w:tcPr>
            <w:tcW w:w="427" w:type="dxa"/>
          </w:tcPr>
          <w:p w:rsidR="0099257A" w:rsidRPr="00793BB4" w:rsidRDefault="00A16482" w:rsidP="004804AB">
            <w:pPr>
              <w:spacing w:before="240"/>
              <w:ind w:left="-106" w:right="-1"/>
            </w:pPr>
            <w:r w:rsidRPr="00793BB4">
              <w:t>г</w:t>
            </w:r>
            <w:r w:rsidR="0099257A" w:rsidRPr="00793BB4">
              <w:t>.</w:t>
            </w:r>
          </w:p>
        </w:tc>
        <w:tc>
          <w:tcPr>
            <w:tcW w:w="282" w:type="dxa"/>
          </w:tcPr>
          <w:p w:rsidR="0099257A" w:rsidRPr="00793BB4" w:rsidRDefault="00A16482" w:rsidP="004804AB">
            <w:pPr>
              <w:spacing w:before="240"/>
              <w:ind w:left="-108" w:right="-108"/>
              <w:jc w:val="right"/>
            </w:pPr>
            <w:r w:rsidRPr="00793BB4">
              <w:t>№</w:t>
            </w:r>
          </w:p>
        </w:tc>
        <w:tc>
          <w:tcPr>
            <w:tcW w:w="2120" w:type="dxa"/>
          </w:tcPr>
          <w:p w:rsidR="0099257A" w:rsidRPr="00793BB4" w:rsidRDefault="0099257A" w:rsidP="004804AB">
            <w:pPr>
              <w:spacing w:before="240"/>
              <w:ind w:right="-1"/>
            </w:pPr>
          </w:p>
        </w:tc>
      </w:tr>
    </w:tbl>
    <w:p w:rsidR="00F13FCD" w:rsidRPr="00793BB4" w:rsidRDefault="00F13FCD">
      <w:pPr>
        <w:pStyle w:val="a5"/>
        <w:jc w:val="both"/>
        <w:rPr>
          <w:lang w:val="ru-RU"/>
        </w:rPr>
      </w:pPr>
    </w:p>
    <w:p w:rsidR="00C93B5E" w:rsidRDefault="00C93B5E">
      <w:pPr>
        <w:pStyle w:val="a5"/>
        <w:jc w:val="both"/>
        <w:rPr>
          <w:lang w:val="ru-RU"/>
        </w:rPr>
      </w:pPr>
    </w:p>
    <w:p w:rsidR="00C05ABB" w:rsidRPr="00793BB4" w:rsidRDefault="00C05ABB">
      <w:pPr>
        <w:pStyle w:val="a5"/>
        <w:jc w:val="both"/>
        <w:rPr>
          <w:lang w:val="ru-RU"/>
        </w:rPr>
      </w:pPr>
    </w:p>
    <w:p w:rsidR="00296938" w:rsidRPr="0079387E" w:rsidRDefault="007F6C94" w:rsidP="00296938">
      <w:pPr>
        <w:pStyle w:val="a5"/>
        <w:ind w:firstLine="0"/>
        <w:jc w:val="center"/>
        <w:rPr>
          <w:b/>
          <w:lang w:val="ru-RU"/>
        </w:rPr>
      </w:pPr>
      <w:r>
        <w:rPr>
          <w:b/>
          <w:lang w:val="ru-RU"/>
        </w:rPr>
        <w:t>О внесении изменений в</w:t>
      </w:r>
      <w:r w:rsidR="00EC5991">
        <w:rPr>
          <w:b/>
          <w:lang w:val="ru-RU"/>
        </w:rPr>
        <w:t xml:space="preserve"> </w:t>
      </w:r>
      <w:r>
        <w:rPr>
          <w:b/>
          <w:lang w:val="ru-RU"/>
        </w:rPr>
        <w:t>приказ Министерства государственного имущества Республики Марий Эл от 26 декабря 2018 г</w:t>
      </w:r>
      <w:r w:rsidR="00592735">
        <w:rPr>
          <w:b/>
          <w:lang w:val="ru-RU"/>
        </w:rPr>
        <w:t>.</w:t>
      </w:r>
      <w:r>
        <w:rPr>
          <w:b/>
          <w:lang w:val="ru-RU"/>
        </w:rPr>
        <w:t xml:space="preserve"> № 19-нп</w:t>
      </w:r>
    </w:p>
    <w:p w:rsidR="00C93B5E" w:rsidRDefault="00C93B5E">
      <w:pPr>
        <w:pStyle w:val="a5"/>
        <w:jc w:val="both"/>
        <w:rPr>
          <w:lang w:val="ru-RU"/>
        </w:rPr>
      </w:pPr>
    </w:p>
    <w:p w:rsidR="00C05ABB" w:rsidRPr="00793BB4" w:rsidRDefault="00C05ABB">
      <w:pPr>
        <w:pStyle w:val="a5"/>
        <w:jc w:val="both"/>
        <w:rPr>
          <w:lang w:val="ru-RU"/>
        </w:rPr>
      </w:pPr>
    </w:p>
    <w:p w:rsidR="00C93B5E" w:rsidRPr="00793BB4" w:rsidRDefault="00C93B5E">
      <w:pPr>
        <w:pStyle w:val="a5"/>
        <w:jc w:val="both"/>
        <w:rPr>
          <w:lang w:val="ru-RU"/>
        </w:rPr>
      </w:pPr>
    </w:p>
    <w:p w:rsidR="009A5DA3" w:rsidRDefault="009A5DA3" w:rsidP="00D47B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Приказываю:</w:t>
      </w:r>
    </w:p>
    <w:p w:rsidR="009A5DA3" w:rsidRDefault="009A5DA3" w:rsidP="009A5DA3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1. Внести в </w:t>
      </w:r>
      <w:r>
        <w:rPr>
          <w:rFonts w:ascii="Times New Roman" w:hAnsi="Times New Roman"/>
          <w:szCs w:val="28"/>
        </w:rPr>
        <w:t xml:space="preserve">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кадастровая стоимость, на 2019 год, </w:t>
      </w:r>
      <w:r w:rsidRPr="007F6C94">
        <w:t>утвержденн</w:t>
      </w:r>
      <w:r>
        <w:t>ый</w:t>
      </w:r>
      <w:r w:rsidRPr="007F6C94">
        <w:t xml:space="preserve"> приказом Министерства государственного имущества Республики Марий Эл от 26 декабря 2018 г № 19-нп</w:t>
      </w:r>
      <w:r>
        <w:t xml:space="preserve">, </w:t>
      </w:r>
      <w:r>
        <w:rPr>
          <w:szCs w:val="28"/>
        </w:rPr>
        <w:t>следующие изменения</w:t>
      </w:r>
      <w:r>
        <w:t>:</w:t>
      </w:r>
    </w:p>
    <w:p w:rsidR="0079387E" w:rsidRDefault="009A5DA3" w:rsidP="00D47BA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021482" w:rsidRPr="00A13C50">
        <w:rPr>
          <w:szCs w:val="28"/>
        </w:rPr>
        <w:t xml:space="preserve">В </w:t>
      </w:r>
      <w:r w:rsidR="00E56275">
        <w:rPr>
          <w:szCs w:val="28"/>
        </w:rPr>
        <w:t>связи с</w:t>
      </w:r>
      <w:r w:rsidR="00021482" w:rsidRPr="00A13C50">
        <w:rPr>
          <w:szCs w:val="28"/>
        </w:rPr>
        <w:t xml:space="preserve"> </w:t>
      </w:r>
      <w:r w:rsidR="007F6C94">
        <w:rPr>
          <w:rFonts w:cs="Times New Roman CYR"/>
          <w:szCs w:val="28"/>
        </w:rPr>
        <w:t>вступ</w:t>
      </w:r>
      <w:r w:rsidR="00E56275">
        <w:rPr>
          <w:rFonts w:cs="Times New Roman CYR"/>
          <w:szCs w:val="28"/>
        </w:rPr>
        <w:t>ившими</w:t>
      </w:r>
      <w:r w:rsidR="007F6C94">
        <w:rPr>
          <w:rFonts w:cs="Times New Roman CYR"/>
          <w:szCs w:val="28"/>
        </w:rPr>
        <w:t xml:space="preserve"> в законную силу решени</w:t>
      </w:r>
      <w:r w:rsidR="00E56275">
        <w:rPr>
          <w:rFonts w:cs="Times New Roman CYR"/>
          <w:szCs w:val="28"/>
        </w:rPr>
        <w:t>ями</w:t>
      </w:r>
      <w:r w:rsidR="007F6C94">
        <w:rPr>
          <w:rFonts w:cs="Times New Roman CYR"/>
          <w:szCs w:val="28"/>
        </w:rPr>
        <w:t xml:space="preserve"> Верховного суда Республики Марий Эл</w:t>
      </w:r>
      <w:r w:rsidR="00C93B5E" w:rsidRPr="00A13C50">
        <w:rPr>
          <w:szCs w:val="28"/>
        </w:rPr>
        <w:t>:</w:t>
      </w:r>
      <w:r w:rsidR="0079387E" w:rsidRPr="00A13C50">
        <w:rPr>
          <w:szCs w:val="28"/>
        </w:rPr>
        <w:t xml:space="preserve"> </w:t>
      </w:r>
    </w:p>
    <w:p w:rsidR="007F6C94" w:rsidRDefault="00B86DBF" w:rsidP="006C01F1">
      <w:pPr>
        <w:autoSpaceDE w:val="0"/>
        <w:autoSpaceDN w:val="0"/>
        <w:adjustRightInd w:val="0"/>
        <w:ind w:firstLine="709"/>
        <w:jc w:val="both"/>
      </w:pPr>
      <w:r>
        <w:t>исключи</w:t>
      </w:r>
      <w:r w:rsidR="005122EF">
        <w:t>ть</w:t>
      </w:r>
      <w:r>
        <w:t xml:space="preserve"> пункт</w:t>
      </w:r>
      <w:r w:rsidR="005122EF">
        <w:t>ы</w:t>
      </w:r>
      <w:r>
        <w:t xml:space="preserve"> </w:t>
      </w:r>
      <w:r w:rsidR="005122EF">
        <w:t>55,</w:t>
      </w:r>
      <w:r w:rsidR="00D47BA7">
        <w:t xml:space="preserve"> </w:t>
      </w:r>
      <w:r w:rsidR="005122EF">
        <w:t>56,</w:t>
      </w:r>
      <w:r w:rsidR="00D47BA7">
        <w:t xml:space="preserve"> </w:t>
      </w:r>
      <w:r w:rsidR="005122EF">
        <w:t>57</w:t>
      </w:r>
      <w:r>
        <w:t xml:space="preserve"> на основании решения Верховного суда Республики Марий Эл </w:t>
      </w:r>
      <w:r w:rsidR="005122EF">
        <w:t xml:space="preserve">от </w:t>
      </w:r>
      <w:r w:rsidR="006B0783">
        <w:t>31</w:t>
      </w:r>
      <w:r w:rsidR="005122EF">
        <w:t xml:space="preserve"> мая 2019 г. по </w:t>
      </w:r>
      <w:r w:rsidR="006B0783">
        <w:t xml:space="preserve">административному </w:t>
      </w:r>
      <w:r w:rsidR="005122EF">
        <w:t>делу № 3а-</w:t>
      </w:r>
      <w:r w:rsidR="006B0783">
        <w:t>31</w:t>
      </w:r>
      <w:r w:rsidR="005122EF">
        <w:t>/2019;</w:t>
      </w:r>
    </w:p>
    <w:p w:rsidR="005122EF" w:rsidRPr="007F6C94" w:rsidRDefault="005122EF" w:rsidP="005122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исключить пункт </w:t>
      </w:r>
      <w:r w:rsidR="006B0783">
        <w:t>8713</w:t>
      </w:r>
      <w:r>
        <w:t xml:space="preserve"> на основании решения Верховного суда Республики Марий Эл от </w:t>
      </w:r>
      <w:r w:rsidR="006B0783">
        <w:t>3</w:t>
      </w:r>
      <w:r>
        <w:t xml:space="preserve"> </w:t>
      </w:r>
      <w:r w:rsidR="006B0783">
        <w:t>июня</w:t>
      </w:r>
      <w:r>
        <w:t xml:space="preserve"> 2019 г. по </w:t>
      </w:r>
      <w:r w:rsidR="006B0783">
        <w:t xml:space="preserve">административному </w:t>
      </w:r>
      <w:r>
        <w:t xml:space="preserve">делу </w:t>
      </w:r>
      <w:r w:rsidR="00D47BA7">
        <w:br/>
      </w:r>
      <w:r>
        <w:t>№ 3а-</w:t>
      </w:r>
      <w:r w:rsidR="006B0783">
        <w:t>32</w:t>
      </w:r>
      <w:r>
        <w:t>/2019;</w:t>
      </w:r>
    </w:p>
    <w:p w:rsidR="005122EF" w:rsidRPr="007F6C94" w:rsidRDefault="005122EF" w:rsidP="005122E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 xml:space="preserve">исключить пункт </w:t>
      </w:r>
      <w:r w:rsidR="006B0783">
        <w:t>9007</w:t>
      </w:r>
      <w:r>
        <w:t xml:space="preserve"> на основании решения Верховного суда Республики Марий Эл от </w:t>
      </w:r>
      <w:r w:rsidR="006B0783">
        <w:t>31</w:t>
      </w:r>
      <w:r>
        <w:t xml:space="preserve"> мая 2019 г. по </w:t>
      </w:r>
      <w:r w:rsidR="006B0783">
        <w:t xml:space="preserve">административному </w:t>
      </w:r>
      <w:r>
        <w:t xml:space="preserve">делу </w:t>
      </w:r>
      <w:r w:rsidR="00D47BA7">
        <w:br/>
      </w:r>
      <w:r>
        <w:t>№ 3а-</w:t>
      </w:r>
      <w:r w:rsidR="006B0783">
        <w:t>29</w:t>
      </w:r>
      <w:r>
        <w:t>/2019;</w:t>
      </w:r>
    </w:p>
    <w:p w:rsidR="006B0783" w:rsidRDefault="006B0783" w:rsidP="006B0783">
      <w:pPr>
        <w:autoSpaceDE w:val="0"/>
        <w:autoSpaceDN w:val="0"/>
        <w:adjustRightInd w:val="0"/>
        <w:ind w:firstLine="709"/>
        <w:jc w:val="both"/>
      </w:pPr>
      <w:r>
        <w:t>исключить пункт 9396 Перечня на основании решения Верховного суда Республики Марий Эл от 28 мая 2019 г. по административному делу № 3а-26/2019</w:t>
      </w:r>
      <w:r w:rsidR="00913A96">
        <w:t>.</w:t>
      </w:r>
    </w:p>
    <w:p w:rsidR="009A5DA3" w:rsidRDefault="009A5DA3" w:rsidP="006B0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В связи со снятием объектов недвижимого имущества </w:t>
      </w:r>
      <w:r>
        <w:rPr>
          <w:szCs w:val="28"/>
        </w:rPr>
        <w:br/>
        <w:t>с кадастрового учета в 2018 году:</w:t>
      </w:r>
    </w:p>
    <w:p w:rsidR="009A5DA3" w:rsidRPr="007F6C94" w:rsidRDefault="009A5DA3" w:rsidP="006B078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исключить пункты </w:t>
      </w:r>
      <w:r w:rsidR="00511DB8">
        <w:rPr>
          <w:szCs w:val="28"/>
        </w:rPr>
        <w:t xml:space="preserve">99, </w:t>
      </w:r>
      <w:r w:rsidR="00530FA4">
        <w:rPr>
          <w:szCs w:val="28"/>
        </w:rPr>
        <w:t xml:space="preserve">144, 168, 276, 277, 278, </w:t>
      </w:r>
      <w:r w:rsidR="00511DB8">
        <w:rPr>
          <w:szCs w:val="28"/>
        </w:rPr>
        <w:t xml:space="preserve">557, </w:t>
      </w:r>
      <w:r w:rsidR="00530FA4">
        <w:rPr>
          <w:szCs w:val="28"/>
        </w:rPr>
        <w:t xml:space="preserve">829, </w:t>
      </w:r>
      <w:r w:rsidR="00511DB8">
        <w:rPr>
          <w:szCs w:val="28"/>
        </w:rPr>
        <w:t xml:space="preserve">939, </w:t>
      </w:r>
      <w:r w:rsidR="00530FA4">
        <w:rPr>
          <w:szCs w:val="28"/>
        </w:rPr>
        <w:t>1241,</w:t>
      </w:r>
      <w:r w:rsidR="00511DB8">
        <w:rPr>
          <w:szCs w:val="28"/>
        </w:rPr>
        <w:t xml:space="preserve"> 1901,</w:t>
      </w:r>
      <w:r w:rsidR="00530FA4">
        <w:rPr>
          <w:szCs w:val="28"/>
        </w:rPr>
        <w:t xml:space="preserve"> </w:t>
      </w:r>
      <w:r w:rsidR="00511DB8">
        <w:rPr>
          <w:szCs w:val="28"/>
        </w:rPr>
        <w:t xml:space="preserve">2095, 2350, </w:t>
      </w:r>
      <w:r w:rsidR="00530FA4">
        <w:rPr>
          <w:szCs w:val="28"/>
        </w:rPr>
        <w:t xml:space="preserve">2468, 2470, 2487, </w:t>
      </w:r>
      <w:r w:rsidR="00511DB8">
        <w:rPr>
          <w:szCs w:val="28"/>
        </w:rPr>
        <w:t xml:space="preserve">2607, 2847, 2985, 3067, 3713, 4200, 4650, </w:t>
      </w:r>
      <w:r>
        <w:rPr>
          <w:szCs w:val="28"/>
        </w:rPr>
        <w:t xml:space="preserve">4681, 5430, 5440, </w:t>
      </w:r>
      <w:r w:rsidR="00530FA4">
        <w:rPr>
          <w:szCs w:val="28"/>
        </w:rPr>
        <w:t xml:space="preserve">5514, 6134, </w:t>
      </w:r>
      <w:r w:rsidR="00511DB8">
        <w:rPr>
          <w:szCs w:val="28"/>
        </w:rPr>
        <w:t xml:space="preserve">6823, 7047, </w:t>
      </w:r>
      <w:r w:rsidR="00530FA4">
        <w:rPr>
          <w:szCs w:val="28"/>
        </w:rPr>
        <w:t xml:space="preserve">7048, </w:t>
      </w:r>
      <w:r>
        <w:rPr>
          <w:szCs w:val="28"/>
        </w:rPr>
        <w:t xml:space="preserve">7125, 7126, </w:t>
      </w:r>
      <w:r w:rsidR="00511DB8">
        <w:rPr>
          <w:szCs w:val="28"/>
        </w:rPr>
        <w:t xml:space="preserve">7211, </w:t>
      </w:r>
      <w:r w:rsidR="00530FA4">
        <w:rPr>
          <w:szCs w:val="28"/>
        </w:rPr>
        <w:t xml:space="preserve">7255, 7270, </w:t>
      </w:r>
      <w:r w:rsidR="00511DB8">
        <w:rPr>
          <w:szCs w:val="28"/>
        </w:rPr>
        <w:t xml:space="preserve">7302, 7307, </w:t>
      </w:r>
      <w:r w:rsidR="00530FA4">
        <w:rPr>
          <w:szCs w:val="28"/>
        </w:rPr>
        <w:t xml:space="preserve">7367, </w:t>
      </w:r>
      <w:r w:rsidR="00511DB8">
        <w:rPr>
          <w:szCs w:val="28"/>
        </w:rPr>
        <w:t xml:space="preserve">7670, </w:t>
      </w:r>
      <w:r>
        <w:rPr>
          <w:szCs w:val="28"/>
        </w:rPr>
        <w:t xml:space="preserve">7674, 7807, </w:t>
      </w:r>
      <w:r w:rsidR="00530FA4">
        <w:rPr>
          <w:szCs w:val="28"/>
        </w:rPr>
        <w:t xml:space="preserve">7819, 7822, </w:t>
      </w:r>
      <w:r>
        <w:rPr>
          <w:szCs w:val="28"/>
        </w:rPr>
        <w:t xml:space="preserve">7833, </w:t>
      </w:r>
      <w:r w:rsidR="00511DB8">
        <w:rPr>
          <w:szCs w:val="28"/>
        </w:rPr>
        <w:t xml:space="preserve">8026, </w:t>
      </w:r>
      <w:r w:rsidR="00530FA4">
        <w:rPr>
          <w:szCs w:val="28"/>
        </w:rPr>
        <w:lastRenderedPageBreak/>
        <w:t xml:space="preserve">8027, </w:t>
      </w:r>
      <w:r w:rsidR="00511DB8">
        <w:rPr>
          <w:szCs w:val="28"/>
        </w:rPr>
        <w:t xml:space="preserve">8203, </w:t>
      </w:r>
      <w:r w:rsidR="00530FA4">
        <w:rPr>
          <w:szCs w:val="28"/>
        </w:rPr>
        <w:t xml:space="preserve">8361, 8521, 8523, 8526, </w:t>
      </w:r>
      <w:r w:rsidR="00511DB8">
        <w:rPr>
          <w:szCs w:val="28"/>
        </w:rPr>
        <w:t xml:space="preserve">8722, </w:t>
      </w:r>
      <w:r w:rsidR="00530FA4">
        <w:rPr>
          <w:szCs w:val="28"/>
        </w:rPr>
        <w:t xml:space="preserve">8757, 8790, </w:t>
      </w:r>
      <w:r w:rsidR="00511DB8">
        <w:rPr>
          <w:szCs w:val="28"/>
        </w:rPr>
        <w:t xml:space="preserve">8863, 9116, </w:t>
      </w:r>
      <w:r>
        <w:rPr>
          <w:szCs w:val="28"/>
        </w:rPr>
        <w:t xml:space="preserve">9125, </w:t>
      </w:r>
      <w:r w:rsidR="00511DB8">
        <w:rPr>
          <w:szCs w:val="28"/>
        </w:rPr>
        <w:t xml:space="preserve">9346, </w:t>
      </w:r>
      <w:r>
        <w:rPr>
          <w:szCs w:val="28"/>
        </w:rPr>
        <w:t>9368, 9435,</w:t>
      </w:r>
      <w:r w:rsidR="00530FA4">
        <w:rPr>
          <w:szCs w:val="28"/>
        </w:rPr>
        <w:t xml:space="preserve"> </w:t>
      </w:r>
      <w:r w:rsidR="00511DB8">
        <w:rPr>
          <w:szCs w:val="28"/>
        </w:rPr>
        <w:t xml:space="preserve">9552, </w:t>
      </w:r>
      <w:r w:rsidR="00530FA4">
        <w:rPr>
          <w:szCs w:val="28"/>
        </w:rPr>
        <w:t>9581 на основании выписок из Единого государственного реестра недвижимости.</w:t>
      </w:r>
    </w:p>
    <w:p w:rsidR="00695F24" w:rsidRPr="00B77C0E" w:rsidRDefault="00384197" w:rsidP="00FC23D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  <w:r>
        <w:t>2</w:t>
      </w:r>
      <w:r w:rsidR="00695F24">
        <w:t>. Настоящий приказ вступает в силу с</w:t>
      </w:r>
      <w:r w:rsidR="006B0783">
        <w:t>о дня его официального о</w:t>
      </w:r>
      <w:r w:rsidR="00DE08E5">
        <w:t>п</w:t>
      </w:r>
      <w:r w:rsidR="006B0783">
        <w:t>убликования.</w:t>
      </w:r>
    </w:p>
    <w:p w:rsidR="007E4128" w:rsidRDefault="00384197" w:rsidP="00C05ABB">
      <w:pPr>
        <w:pStyle w:val="a5"/>
        <w:tabs>
          <w:tab w:val="left" w:pos="709"/>
        </w:tabs>
        <w:jc w:val="both"/>
        <w:rPr>
          <w:rFonts w:ascii="Times New Roman" w:hAnsi="Times New Roman"/>
          <w:bCs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Cs/>
          <w:szCs w:val="28"/>
          <w:shd w:val="clear" w:color="auto" w:fill="FFFFFF"/>
          <w:lang w:val="ru-RU"/>
        </w:rPr>
        <w:t>3</w:t>
      </w:r>
      <w:r w:rsidR="007E4128">
        <w:rPr>
          <w:rFonts w:ascii="Times New Roman" w:hAnsi="Times New Roman"/>
          <w:bCs/>
          <w:szCs w:val="28"/>
          <w:shd w:val="clear" w:color="auto" w:fill="FFFFFF"/>
          <w:lang w:val="ru-RU"/>
        </w:rPr>
        <w:t>. Контроль за выполнением настоящего приказа возложить                     на заместителя министра Плотникова А.В.</w:t>
      </w:r>
    </w:p>
    <w:p w:rsidR="007E4128" w:rsidRPr="007E4128" w:rsidRDefault="007E4128" w:rsidP="00C05ABB">
      <w:pPr>
        <w:pStyle w:val="a5"/>
        <w:tabs>
          <w:tab w:val="left" w:pos="709"/>
        </w:tabs>
        <w:jc w:val="both"/>
        <w:rPr>
          <w:rFonts w:ascii="Times New Roman" w:hAnsi="Times New Roman"/>
          <w:szCs w:val="28"/>
          <w:lang w:val="ru-RU"/>
        </w:rPr>
      </w:pPr>
    </w:p>
    <w:p w:rsidR="0068056F" w:rsidRPr="00793BB4" w:rsidRDefault="0068056F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8056F" w:rsidRDefault="0068056F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93B5E" w:rsidRPr="00793BB4" w:rsidRDefault="007E4128" w:rsidP="00C93B5E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lang w:val="ru-RU"/>
        </w:rPr>
        <w:t>М</w:t>
      </w:r>
      <w:r w:rsidR="00BD2D7F">
        <w:rPr>
          <w:lang w:val="ru-RU"/>
        </w:rPr>
        <w:t>инистр</w:t>
      </w:r>
      <w:r w:rsidR="00BD2D7F">
        <w:rPr>
          <w:lang w:val="ru-RU"/>
        </w:rPr>
        <w:tab/>
      </w:r>
      <w:proofErr w:type="spellStart"/>
      <w:r>
        <w:rPr>
          <w:lang w:val="ru-RU"/>
        </w:rPr>
        <w:t>Н.В.Севостьянова</w:t>
      </w:r>
      <w:proofErr w:type="spellEnd"/>
    </w:p>
    <w:p w:rsidR="0068056F" w:rsidRPr="00793BB4" w:rsidRDefault="0068056F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8056F" w:rsidRDefault="0068056F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627750" w:rsidRDefault="00627750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05ABB" w:rsidRDefault="00C05ABB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E08E5" w:rsidRDefault="00DE08E5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E08E5" w:rsidRDefault="00DE08E5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E08E5" w:rsidRDefault="00DE08E5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E08E5" w:rsidRDefault="00DE08E5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E08E5" w:rsidRDefault="00DE08E5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E08E5" w:rsidRDefault="00DE08E5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DE08E5" w:rsidRDefault="00DE08E5" w:rsidP="0068056F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30FA4" w:rsidRDefault="00530FA4" w:rsidP="002663A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0" w:name="_GoBack"/>
      <w:bookmarkEnd w:id="0"/>
    </w:p>
    <w:sectPr w:rsidR="00530FA4" w:rsidSect="0034024C">
      <w:pgSz w:w="11907" w:h="16840"/>
      <w:pgMar w:top="1134" w:right="1134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5C3"/>
    <w:multiLevelType w:val="hybridMultilevel"/>
    <w:tmpl w:val="249250E8"/>
    <w:lvl w:ilvl="0" w:tplc="9C0E33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500726"/>
    <w:multiLevelType w:val="hybridMultilevel"/>
    <w:tmpl w:val="ABF6674A"/>
    <w:lvl w:ilvl="0" w:tplc="1B7CA9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325AB"/>
    <w:multiLevelType w:val="hybridMultilevel"/>
    <w:tmpl w:val="F8C42442"/>
    <w:lvl w:ilvl="0" w:tplc="58AC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6F"/>
    <w:rsid w:val="000070A7"/>
    <w:rsid w:val="00021482"/>
    <w:rsid w:val="000415ED"/>
    <w:rsid w:val="00072745"/>
    <w:rsid w:val="000A2BB9"/>
    <w:rsid w:val="000A65AC"/>
    <w:rsid w:val="000D27DA"/>
    <w:rsid w:val="001034F2"/>
    <w:rsid w:val="001247E9"/>
    <w:rsid w:val="00135811"/>
    <w:rsid w:val="0018440B"/>
    <w:rsid w:val="001866B2"/>
    <w:rsid w:val="001A0E44"/>
    <w:rsid w:val="001A24F2"/>
    <w:rsid w:val="001A43AE"/>
    <w:rsid w:val="001B25CA"/>
    <w:rsid w:val="001D274A"/>
    <w:rsid w:val="001E4B5F"/>
    <w:rsid w:val="00205FAA"/>
    <w:rsid w:val="00252A7A"/>
    <w:rsid w:val="00254374"/>
    <w:rsid w:val="00263BB9"/>
    <w:rsid w:val="002663A6"/>
    <w:rsid w:val="002876E8"/>
    <w:rsid w:val="00296938"/>
    <w:rsid w:val="002A26C8"/>
    <w:rsid w:val="002A5D52"/>
    <w:rsid w:val="002B77B3"/>
    <w:rsid w:val="002C6C34"/>
    <w:rsid w:val="002D7C98"/>
    <w:rsid w:val="00310883"/>
    <w:rsid w:val="003159BF"/>
    <w:rsid w:val="00325648"/>
    <w:rsid w:val="0034024C"/>
    <w:rsid w:val="00344630"/>
    <w:rsid w:val="003762E0"/>
    <w:rsid w:val="00376FEC"/>
    <w:rsid w:val="00380347"/>
    <w:rsid w:val="00382BED"/>
    <w:rsid w:val="00383BC8"/>
    <w:rsid w:val="00384197"/>
    <w:rsid w:val="003A68B6"/>
    <w:rsid w:val="003E40F6"/>
    <w:rsid w:val="0044508F"/>
    <w:rsid w:val="004804AB"/>
    <w:rsid w:val="004816DD"/>
    <w:rsid w:val="0049537C"/>
    <w:rsid w:val="004B2653"/>
    <w:rsid w:val="004B54BD"/>
    <w:rsid w:val="004F6998"/>
    <w:rsid w:val="00511DB8"/>
    <w:rsid w:val="005122EF"/>
    <w:rsid w:val="00530FA4"/>
    <w:rsid w:val="0054693A"/>
    <w:rsid w:val="0059000D"/>
    <w:rsid w:val="00592735"/>
    <w:rsid w:val="005A2842"/>
    <w:rsid w:val="005B4EBA"/>
    <w:rsid w:val="005E7D85"/>
    <w:rsid w:val="00627750"/>
    <w:rsid w:val="00652DB3"/>
    <w:rsid w:val="00662614"/>
    <w:rsid w:val="00670ED6"/>
    <w:rsid w:val="0068056F"/>
    <w:rsid w:val="00685077"/>
    <w:rsid w:val="00695F24"/>
    <w:rsid w:val="0069721B"/>
    <w:rsid w:val="006A60D3"/>
    <w:rsid w:val="006B0783"/>
    <w:rsid w:val="006C01F1"/>
    <w:rsid w:val="007812C5"/>
    <w:rsid w:val="0079387E"/>
    <w:rsid w:val="00793BB4"/>
    <w:rsid w:val="007C2A0E"/>
    <w:rsid w:val="007D2BFC"/>
    <w:rsid w:val="007E1C67"/>
    <w:rsid w:val="007E4128"/>
    <w:rsid w:val="007F6C94"/>
    <w:rsid w:val="0082652E"/>
    <w:rsid w:val="00835D58"/>
    <w:rsid w:val="00866784"/>
    <w:rsid w:val="00870B5F"/>
    <w:rsid w:val="008D11F6"/>
    <w:rsid w:val="00913A96"/>
    <w:rsid w:val="0099257A"/>
    <w:rsid w:val="009A5DA3"/>
    <w:rsid w:val="009C14CB"/>
    <w:rsid w:val="009D7E82"/>
    <w:rsid w:val="00A13C50"/>
    <w:rsid w:val="00A16482"/>
    <w:rsid w:val="00A33A02"/>
    <w:rsid w:val="00A33E8E"/>
    <w:rsid w:val="00A44069"/>
    <w:rsid w:val="00A71040"/>
    <w:rsid w:val="00A71F54"/>
    <w:rsid w:val="00A911A9"/>
    <w:rsid w:val="00A91EF8"/>
    <w:rsid w:val="00AF507C"/>
    <w:rsid w:val="00B02AE6"/>
    <w:rsid w:val="00B15FA8"/>
    <w:rsid w:val="00B245ED"/>
    <w:rsid w:val="00B30C27"/>
    <w:rsid w:val="00B31369"/>
    <w:rsid w:val="00B72C60"/>
    <w:rsid w:val="00B76039"/>
    <w:rsid w:val="00B77C0E"/>
    <w:rsid w:val="00B86DBF"/>
    <w:rsid w:val="00BD2D7F"/>
    <w:rsid w:val="00BD6DAB"/>
    <w:rsid w:val="00C05ABB"/>
    <w:rsid w:val="00C35878"/>
    <w:rsid w:val="00C46578"/>
    <w:rsid w:val="00C73D0D"/>
    <w:rsid w:val="00C93B5E"/>
    <w:rsid w:val="00CA1B00"/>
    <w:rsid w:val="00CA2FBF"/>
    <w:rsid w:val="00CB21BB"/>
    <w:rsid w:val="00CC655F"/>
    <w:rsid w:val="00D47BA7"/>
    <w:rsid w:val="00D71737"/>
    <w:rsid w:val="00D773C7"/>
    <w:rsid w:val="00D917C5"/>
    <w:rsid w:val="00D96CA5"/>
    <w:rsid w:val="00DA4FF4"/>
    <w:rsid w:val="00DC65F6"/>
    <w:rsid w:val="00DE08E5"/>
    <w:rsid w:val="00DF29E7"/>
    <w:rsid w:val="00E064E5"/>
    <w:rsid w:val="00E204D1"/>
    <w:rsid w:val="00E32F09"/>
    <w:rsid w:val="00E34F76"/>
    <w:rsid w:val="00E374EC"/>
    <w:rsid w:val="00E56275"/>
    <w:rsid w:val="00E760E0"/>
    <w:rsid w:val="00E8122A"/>
    <w:rsid w:val="00EC5991"/>
    <w:rsid w:val="00F025B1"/>
    <w:rsid w:val="00F13FCD"/>
    <w:rsid w:val="00F458B2"/>
    <w:rsid w:val="00F71367"/>
    <w:rsid w:val="00F96B93"/>
    <w:rsid w:val="00FB330E"/>
    <w:rsid w:val="00FC23D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6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F6998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FC2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699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F6998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FC2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76;&#1086;&#1074;&#1080;&#1085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государственного имущества Республики Марий Эл от 26 декабря 2018 г. № 19-нп". Срок проведения независимой антикоррупционной экспертизы с 31.07.2019 г. по 08.08.2019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XXJ7TYMEEKJ2-2008-169</_dlc_DocId>
    <_dlc_DocIdUrl xmlns="57504d04-691e-4fc4-8f09-4f19fdbe90f6">
      <Url>https://vip.gov.mari.ru/mingosim/_layouts/DocIdRedir.aspx?ID=XXJ7TYMEEKJ2-2008-169</Url>
      <Description>XXJ7TYMEEKJ2-2008-169</Description>
    </_dlc_DocIdUrl>
  </documentManagement>
</p:properties>
</file>

<file path=customXml/itemProps1.xml><?xml version="1.0" encoding="utf-8"?>
<ds:datastoreItem xmlns:ds="http://schemas.openxmlformats.org/officeDocument/2006/customXml" ds:itemID="{830D2CA5-6CF0-47A3-80A7-0703BFA4FD56}"/>
</file>

<file path=customXml/itemProps2.xml><?xml version="1.0" encoding="utf-8"?>
<ds:datastoreItem xmlns:ds="http://schemas.openxmlformats.org/officeDocument/2006/customXml" ds:itemID="{8136D28C-ED29-4559-A6CA-453876F13DCB}"/>
</file>

<file path=customXml/itemProps3.xml><?xml version="1.0" encoding="utf-8"?>
<ds:datastoreItem xmlns:ds="http://schemas.openxmlformats.org/officeDocument/2006/customXml" ds:itemID="{C8D644A9-82B3-408F-B077-D62EFE3B4DF5}"/>
</file>

<file path=customXml/itemProps4.xml><?xml version="1.0" encoding="utf-8"?>
<ds:datastoreItem xmlns:ds="http://schemas.openxmlformats.org/officeDocument/2006/customXml" ds:itemID="{8F5E482E-0528-4959-B419-316D26F672DE}"/>
</file>

<file path=customXml/itemProps5.xml><?xml version="1.0" encoding="utf-8"?>
<ds:datastoreItem xmlns:ds="http://schemas.openxmlformats.org/officeDocument/2006/customXml" ds:itemID="{111EF1E6-5DB9-4CCB-9334-9D26EFB62B4E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1</TotalTime>
  <Pages>2</Pages>
  <Words>311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Мингосимущество Республики Марий Эл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Ивлева</dc:creator>
  <cp:lastModifiedBy>Садовин</cp:lastModifiedBy>
  <cp:revision>3</cp:revision>
  <cp:lastPrinted>2019-07-25T09:16:00Z</cp:lastPrinted>
  <dcterms:created xsi:type="dcterms:W3CDTF">2019-07-30T14:32:00Z</dcterms:created>
  <dcterms:modified xsi:type="dcterms:W3CDTF">2019-07-30T14:34:00Z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9c1a70e6-389e-4849-ad08-efa7ebdcec45</vt:lpwstr>
  </property>
</Properties>
</file>